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77"/>
        <w:gridCol w:w="2779"/>
        <w:gridCol w:w="3086"/>
      </w:tblGrid>
      <w:tr w:rsidR="008C6E2F" w:rsidTr="00F66639">
        <w:tc>
          <w:tcPr>
            <w:tcW w:w="3377" w:type="dxa"/>
          </w:tcPr>
          <w:p w:rsidR="008C6E2F" w:rsidRDefault="008C6E2F" w:rsidP="00F66639">
            <w:pPr>
              <w:tabs>
                <w:tab w:val="left" w:pos="720"/>
                <w:tab w:val="left" w:pos="6720"/>
              </w:tabs>
              <w:rPr>
                <w:color w:val="000080"/>
              </w:rPr>
            </w:pPr>
            <w:r>
              <w:rPr>
                <w:color w:val="000080"/>
              </w:rPr>
              <w:t>E Mail:    dap@jntuh.ac.in</w:t>
            </w:r>
          </w:p>
        </w:tc>
        <w:tc>
          <w:tcPr>
            <w:tcW w:w="2779" w:type="dxa"/>
          </w:tcPr>
          <w:p w:rsidR="008C6E2F" w:rsidRDefault="008C6E2F" w:rsidP="00F66639">
            <w:pPr>
              <w:tabs>
                <w:tab w:val="left" w:pos="720"/>
                <w:tab w:val="left" w:pos="6720"/>
              </w:tabs>
              <w:jc w:val="right"/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5.1pt;margin-top:-20.1pt;width:48.55pt;height:52.45pt;z-index:251658240;mso-position-horizontal-relative:text;mso-position-vertical-relative:text" stroked="f">
                  <v:textbox>
                    <w:txbxContent>
                      <w:p w:rsidR="008C6E2F" w:rsidRPr="00AA7DF5" w:rsidRDefault="008C6E2F" w:rsidP="008C6E2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33705" cy="529590"/>
                              <wp:effectExtent l="19050" t="0" r="4445" b="0"/>
                              <wp:docPr id="2" name="Picture 0" descr="New Picture.jp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Picture.jpg.pn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3705" cy="5295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6" w:type="dxa"/>
          </w:tcPr>
          <w:p w:rsidR="008C6E2F" w:rsidRDefault="008C6E2F" w:rsidP="00F66639">
            <w:pPr>
              <w:tabs>
                <w:tab w:val="left" w:pos="720"/>
                <w:tab w:val="left" w:pos="6720"/>
              </w:tabs>
              <w:jc w:val="right"/>
              <w:rPr>
                <w:color w:val="000080"/>
              </w:rPr>
            </w:pPr>
            <w:r>
              <w:rPr>
                <w:color w:val="000080"/>
              </w:rPr>
              <w:t>Phone:  Off: +91–40–23055123</w:t>
            </w:r>
          </w:p>
          <w:p w:rsidR="008C6E2F" w:rsidRDefault="008C6E2F" w:rsidP="00F66639">
            <w:pPr>
              <w:tabs>
                <w:tab w:val="left" w:pos="720"/>
                <w:tab w:val="left" w:pos="6720"/>
              </w:tabs>
              <w:spacing w:after="240"/>
              <w:jc w:val="right"/>
              <w:rPr>
                <w:color w:val="000080"/>
              </w:rPr>
            </w:pPr>
            <w:r>
              <w:rPr>
                <w:color w:val="000080"/>
              </w:rPr>
              <w:t>Fax: +91–40–23156115</w:t>
            </w:r>
          </w:p>
        </w:tc>
      </w:tr>
      <w:tr w:rsidR="008C6E2F" w:rsidRPr="008F53D0" w:rsidTr="00F66639">
        <w:tc>
          <w:tcPr>
            <w:tcW w:w="9242" w:type="dxa"/>
            <w:gridSpan w:val="3"/>
          </w:tcPr>
          <w:p w:rsidR="008C6E2F" w:rsidRPr="00563EDF" w:rsidRDefault="008C6E2F" w:rsidP="00F66639">
            <w:pPr>
              <w:pStyle w:val="Heading1"/>
              <w:spacing w:before="0" w:after="0"/>
              <w:jc w:val="center"/>
              <w:outlineLvl w:val="0"/>
              <w:rPr>
                <w:rFonts w:ascii="Arial" w:hAnsi="Arial"/>
                <w:b w:val="0"/>
                <w:color w:val="800080"/>
                <w:sz w:val="26"/>
                <w:szCs w:val="26"/>
              </w:rPr>
            </w:pPr>
            <w:r w:rsidRPr="00563EDF">
              <w:rPr>
                <w:rFonts w:ascii="Arial" w:hAnsi="Arial"/>
                <w:b w:val="0"/>
                <w:color w:val="800080"/>
                <w:sz w:val="26"/>
                <w:szCs w:val="26"/>
              </w:rPr>
              <w:t>JAWAHARLAL</w:t>
            </w:r>
            <w:r>
              <w:rPr>
                <w:rFonts w:ascii="Arial" w:hAnsi="Arial"/>
                <w:b w:val="0"/>
                <w:color w:val="800080"/>
                <w:sz w:val="26"/>
                <w:szCs w:val="26"/>
              </w:rPr>
              <w:t xml:space="preserve"> NEHRU TECHNOLOGICAL UNIVERSITY</w:t>
            </w:r>
            <w:r w:rsidRPr="00563EDF">
              <w:rPr>
                <w:rFonts w:ascii="Arial" w:hAnsi="Arial"/>
                <w:b w:val="0"/>
                <w:color w:val="800080"/>
                <w:sz w:val="26"/>
                <w:szCs w:val="26"/>
              </w:rPr>
              <w:t xml:space="preserve"> HYDERABAD</w:t>
            </w:r>
          </w:p>
          <w:p w:rsidR="008C6E2F" w:rsidRPr="00A46D60" w:rsidRDefault="008C6E2F" w:rsidP="00F66639">
            <w:pPr>
              <w:pStyle w:val="BodyText"/>
              <w:jc w:val="center"/>
              <w:rPr>
                <w:i/>
                <w:color w:val="333399"/>
                <w:sz w:val="20"/>
              </w:rPr>
            </w:pPr>
            <w:r w:rsidRPr="00A46D60">
              <w:rPr>
                <w:i/>
                <w:color w:val="333399"/>
                <w:sz w:val="20"/>
              </w:rPr>
              <w:t>(</w:t>
            </w:r>
            <w:r>
              <w:rPr>
                <w:i/>
                <w:color w:val="333399"/>
                <w:sz w:val="20"/>
              </w:rPr>
              <w:t xml:space="preserve">Government Gazette Act No. 30 </w:t>
            </w:r>
            <w:r w:rsidRPr="00A46D60">
              <w:rPr>
                <w:i/>
                <w:color w:val="333399"/>
                <w:sz w:val="20"/>
              </w:rPr>
              <w:t>of 2008)</w:t>
            </w:r>
          </w:p>
          <w:p w:rsidR="008C6E2F" w:rsidRDefault="008C6E2F" w:rsidP="00F66639">
            <w:pPr>
              <w:jc w:val="center"/>
              <w:rPr>
                <w:color w:val="800080"/>
              </w:rPr>
            </w:pPr>
            <w:proofErr w:type="spellStart"/>
            <w:r>
              <w:rPr>
                <w:color w:val="800080"/>
              </w:rPr>
              <w:t>Kukatpally</w:t>
            </w:r>
            <w:proofErr w:type="spellEnd"/>
            <w:r>
              <w:rPr>
                <w:color w:val="800080"/>
              </w:rPr>
              <w:t xml:space="preserve">, Hyderabad – 500 085, </w:t>
            </w:r>
            <w:proofErr w:type="spellStart"/>
            <w:r>
              <w:rPr>
                <w:color w:val="800080"/>
              </w:rPr>
              <w:t>Telangana</w:t>
            </w:r>
            <w:proofErr w:type="spellEnd"/>
            <w:r>
              <w:rPr>
                <w:color w:val="800080"/>
              </w:rPr>
              <w:t xml:space="preserve"> (India)</w:t>
            </w:r>
          </w:p>
          <w:p w:rsidR="008C6E2F" w:rsidRPr="008F53D0" w:rsidRDefault="008C6E2F" w:rsidP="00F66639">
            <w:pPr>
              <w:jc w:val="center"/>
            </w:pPr>
          </w:p>
        </w:tc>
      </w:tr>
    </w:tbl>
    <w:p w:rsidR="008C6E2F" w:rsidRDefault="008C6E2F" w:rsidP="008C6E2F">
      <w:pPr>
        <w:tabs>
          <w:tab w:val="left" w:pos="6570"/>
        </w:tabs>
        <w:spacing w:after="120" w:line="240" w:lineRule="auto"/>
        <w:jc w:val="center"/>
      </w:pPr>
    </w:p>
    <w:p w:rsidR="008C6E2F" w:rsidRPr="0068799E" w:rsidRDefault="008C6E2F" w:rsidP="008C6E2F">
      <w:pPr>
        <w:tabs>
          <w:tab w:val="left" w:pos="6570"/>
        </w:tabs>
        <w:spacing w:after="120" w:line="240" w:lineRule="auto"/>
        <w:rPr>
          <w:rFonts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Tender Notice </w:t>
      </w:r>
      <w:proofErr w:type="spellStart"/>
      <w:r>
        <w:rPr>
          <w:sz w:val="24"/>
          <w:szCs w:val="24"/>
        </w:rPr>
        <w:t>No.</w:t>
      </w:r>
      <w:r w:rsidRPr="0068799E">
        <w:rPr>
          <w:sz w:val="24"/>
          <w:szCs w:val="24"/>
        </w:rPr>
        <w:t>JNTUH</w:t>
      </w:r>
      <w:proofErr w:type="spellEnd"/>
      <w:r w:rsidRPr="0068799E">
        <w:rPr>
          <w:sz w:val="24"/>
          <w:szCs w:val="24"/>
        </w:rPr>
        <w:t>/</w:t>
      </w:r>
      <w:r>
        <w:rPr>
          <w:sz w:val="24"/>
          <w:szCs w:val="24"/>
        </w:rPr>
        <w:t>DAPO/</w:t>
      </w:r>
      <w:r w:rsidRPr="0068799E">
        <w:rPr>
          <w:sz w:val="24"/>
          <w:szCs w:val="24"/>
        </w:rPr>
        <w:t>TENDERS</w:t>
      </w:r>
      <w:r>
        <w:rPr>
          <w:sz w:val="24"/>
          <w:szCs w:val="24"/>
        </w:rPr>
        <w:t>/03/</w:t>
      </w:r>
      <w:r w:rsidRPr="0068799E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68799E">
        <w:rPr>
          <w:rFonts w:eastAsia="SimSun" w:cs="Times New Roman"/>
          <w:b/>
          <w:sz w:val="24"/>
          <w:szCs w:val="24"/>
          <w:lang w:eastAsia="zh-CN" w:bidi="kn-IN"/>
        </w:rPr>
        <w:tab/>
      </w:r>
      <w:r>
        <w:rPr>
          <w:rFonts w:eastAsia="SimSun" w:cs="Times New Roman"/>
          <w:b/>
          <w:sz w:val="24"/>
          <w:szCs w:val="24"/>
          <w:lang w:eastAsia="zh-CN" w:bidi="kn-IN"/>
        </w:rPr>
        <w:tab/>
      </w:r>
      <w:r w:rsidRPr="0068799E">
        <w:rPr>
          <w:rFonts w:eastAsia="SimSun" w:cs="Times New Roman"/>
          <w:b/>
          <w:sz w:val="24"/>
          <w:szCs w:val="24"/>
          <w:lang w:eastAsia="zh-CN" w:bidi="kn-IN"/>
        </w:rPr>
        <w:t xml:space="preserve"> </w:t>
      </w:r>
      <w:proofErr w:type="spellStart"/>
      <w:proofErr w:type="gramStart"/>
      <w:r w:rsidRPr="0068799E">
        <w:rPr>
          <w:rFonts w:cs="Times New Roman"/>
          <w:b/>
          <w:bCs/>
          <w:sz w:val="24"/>
          <w:szCs w:val="24"/>
        </w:rPr>
        <w:t>Dt</w:t>
      </w:r>
      <w:proofErr w:type="spellEnd"/>
      <w:proofErr w:type="gramEnd"/>
      <w:r w:rsidRPr="0068799E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b/>
          <w:bCs/>
          <w:sz w:val="24"/>
          <w:szCs w:val="24"/>
        </w:rPr>
        <w:t xml:space="preserve"> 19.04.2017</w:t>
      </w:r>
    </w:p>
    <w:p w:rsidR="008C6E2F" w:rsidRPr="00D80063" w:rsidRDefault="008C6E2F" w:rsidP="008C6E2F">
      <w:pPr>
        <w:tabs>
          <w:tab w:val="left" w:pos="6570"/>
        </w:tabs>
        <w:spacing w:after="120" w:line="240" w:lineRule="auto"/>
        <w:jc w:val="center"/>
        <w:rPr>
          <w:b/>
          <w:sz w:val="24"/>
          <w:szCs w:val="24"/>
        </w:rPr>
      </w:pPr>
      <w:r w:rsidRPr="0068799E">
        <w:rPr>
          <w:rFonts w:cs="Times New Roman"/>
          <w:b/>
          <w:bCs/>
          <w:sz w:val="24"/>
          <w:szCs w:val="24"/>
        </w:rPr>
        <w:t xml:space="preserve">// </w:t>
      </w:r>
      <w:r w:rsidRPr="00D80063">
        <w:rPr>
          <w:b/>
          <w:sz w:val="24"/>
          <w:szCs w:val="24"/>
        </w:rPr>
        <w:t>Short Tender Notice</w:t>
      </w:r>
      <w:r w:rsidRPr="0068799E">
        <w:rPr>
          <w:rFonts w:cs="Times New Roman"/>
          <w:b/>
          <w:bCs/>
          <w:sz w:val="24"/>
          <w:szCs w:val="24"/>
        </w:rPr>
        <w:t>//</w:t>
      </w:r>
    </w:p>
    <w:p w:rsidR="008C6E2F" w:rsidRDefault="008C6E2F" w:rsidP="008C6E2F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  <w:r w:rsidRPr="0068799E">
        <w:rPr>
          <w:rFonts w:cs="Times New Roman"/>
          <w:bCs/>
          <w:sz w:val="24"/>
          <w:szCs w:val="24"/>
        </w:rPr>
        <w:t xml:space="preserve">Sealed Tenders are hereby invited from reputed registered Manufacturers/suppliers </w:t>
      </w:r>
      <w:r w:rsidRPr="0068799E">
        <w:rPr>
          <w:rFonts w:cs="Times New Roman"/>
          <w:sz w:val="24"/>
          <w:szCs w:val="24"/>
        </w:rPr>
        <w:t xml:space="preserve">for supply of the following </w:t>
      </w:r>
      <w:proofErr w:type="gramStart"/>
      <w:r w:rsidRPr="0068799E">
        <w:rPr>
          <w:rFonts w:cs="Times New Roman"/>
          <w:sz w:val="24"/>
          <w:szCs w:val="24"/>
        </w:rPr>
        <w:t>items :</w:t>
      </w:r>
      <w:proofErr w:type="gramEnd"/>
      <w:r w:rsidRPr="0068799E">
        <w:rPr>
          <w:rFonts w:cs="Times New Roman"/>
          <w:sz w:val="24"/>
          <w:szCs w:val="24"/>
        </w:rPr>
        <w:t xml:space="preserve">- </w:t>
      </w:r>
    </w:p>
    <w:p w:rsidR="008C6E2F" w:rsidRDefault="008C6E2F" w:rsidP="008C6E2F">
      <w:pPr>
        <w:spacing w:after="120" w:line="240" w:lineRule="auto"/>
        <w:jc w:val="both"/>
        <w:rPr>
          <w:rFonts w:cs="Times New Roman"/>
          <w:sz w:val="1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892"/>
        <w:gridCol w:w="1608"/>
        <w:gridCol w:w="1350"/>
        <w:gridCol w:w="1890"/>
      </w:tblGrid>
      <w:tr w:rsidR="008C6E2F" w:rsidRPr="00332368" w:rsidTr="00F66639">
        <w:tc>
          <w:tcPr>
            <w:tcW w:w="918" w:type="dxa"/>
          </w:tcPr>
          <w:p w:rsidR="008C6E2F" w:rsidRPr="00332368" w:rsidRDefault="008C6E2F" w:rsidP="00F66639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32368">
              <w:rPr>
                <w:rFonts w:ascii="Times New Roman" w:hAnsi="Times New Roman"/>
                <w:i/>
                <w:sz w:val="18"/>
                <w:szCs w:val="18"/>
              </w:rPr>
              <w:t>S.No</w:t>
            </w:r>
            <w:proofErr w:type="spellEnd"/>
            <w:r w:rsidRPr="00332368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892" w:type="dxa"/>
          </w:tcPr>
          <w:p w:rsidR="008C6E2F" w:rsidRPr="00332368" w:rsidRDefault="008C6E2F" w:rsidP="00F66639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332368">
              <w:rPr>
                <w:rFonts w:ascii="Times New Roman" w:hAnsi="Times New Roman"/>
                <w:i/>
                <w:sz w:val="18"/>
                <w:szCs w:val="18"/>
              </w:rPr>
              <w:t>Name of the Item</w:t>
            </w:r>
          </w:p>
        </w:tc>
        <w:tc>
          <w:tcPr>
            <w:tcW w:w="1608" w:type="dxa"/>
          </w:tcPr>
          <w:p w:rsidR="008C6E2F" w:rsidRPr="00332368" w:rsidRDefault="008C6E2F" w:rsidP="00F66639">
            <w:pPr>
              <w:ind w:right="-243"/>
              <w:jc w:val="center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Tender Doc. Fee in Rs.</w:t>
            </w:r>
          </w:p>
        </w:tc>
        <w:tc>
          <w:tcPr>
            <w:tcW w:w="1350" w:type="dxa"/>
          </w:tcPr>
          <w:p w:rsidR="008C6E2F" w:rsidRPr="00332368" w:rsidRDefault="008C6E2F" w:rsidP="00F66639">
            <w:pPr>
              <w:jc w:val="right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EMD in Rs.</w:t>
            </w:r>
          </w:p>
        </w:tc>
        <w:tc>
          <w:tcPr>
            <w:tcW w:w="1890" w:type="dxa"/>
          </w:tcPr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Pre Bid Meeting</w:t>
            </w:r>
          </w:p>
        </w:tc>
      </w:tr>
      <w:tr w:rsidR="008C6E2F" w:rsidRPr="00332368" w:rsidTr="00F66639">
        <w:tc>
          <w:tcPr>
            <w:tcW w:w="918" w:type="dxa"/>
          </w:tcPr>
          <w:p w:rsidR="008C6E2F" w:rsidRPr="00332368" w:rsidRDefault="008C6E2F" w:rsidP="00F66639">
            <w:pPr>
              <w:jc w:val="center"/>
              <w:rPr>
                <w:b/>
                <w:i/>
                <w:sz w:val="18"/>
                <w:szCs w:val="18"/>
              </w:rPr>
            </w:pPr>
            <w:r w:rsidRPr="00332368">
              <w:rPr>
                <w:b/>
                <w:i/>
                <w:sz w:val="18"/>
                <w:szCs w:val="18"/>
              </w:rPr>
              <w:t>Item 1</w:t>
            </w:r>
          </w:p>
        </w:tc>
        <w:tc>
          <w:tcPr>
            <w:tcW w:w="2892" w:type="dxa"/>
          </w:tcPr>
          <w:p w:rsidR="008C6E2F" w:rsidRPr="00332368" w:rsidRDefault="008C6E2F" w:rsidP="008C6E2F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>Server (UL), and Flat bed scanners (UL)</w:t>
            </w:r>
            <w:r w:rsidRPr="00332368">
              <w:rPr>
                <w:rStyle w:val="Strong"/>
                <w:rFonts w:asciiTheme="minorHAnsi" w:hAnsiTheme="minorHAnsi" w:cstheme="minorHAnsi"/>
                <w:i/>
                <w:sz w:val="18"/>
                <w:szCs w:val="18"/>
              </w:rPr>
              <w:t xml:space="preserve"> RACK SERVER (1 for CEH-CSE)</w:t>
            </w:r>
          </w:p>
        </w:tc>
        <w:tc>
          <w:tcPr>
            <w:tcW w:w="1608" w:type="dxa"/>
            <w:vMerge w:val="restart"/>
          </w:tcPr>
          <w:p w:rsidR="008C6E2F" w:rsidRPr="00332368" w:rsidRDefault="008C6E2F" w:rsidP="00F66639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C6E2F" w:rsidRPr="00332368" w:rsidRDefault="008C6E2F" w:rsidP="00F66639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30,000/-</w:t>
            </w:r>
          </w:p>
        </w:tc>
        <w:tc>
          <w:tcPr>
            <w:tcW w:w="1890" w:type="dxa"/>
            <w:vMerge w:val="restart"/>
            <w:vAlign w:val="center"/>
          </w:tcPr>
          <w:p w:rsidR="008C6E2F" w:rsidRPr="00332368" w:rsidRDefault="008C6E2F" w:rsidP="00F6663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26.04.2017 @ 4.30 pm</w:t>
            </w:r>
          </w:p>
        </w:tc>
      </w:tr>
      <w:tr w:rsidR="008C6E2F" w:rsidRPr="00332368" w:rsidTr="00F66639">
        <w:tc>
          <w:tcPr>
            <w:tcW w:w="918" w:type="dxa"/>
          </w:tcPr>
          <w:p w:rsidR="008C6E2F" w:rsidRPr="00332368" w:rsidRDefault="008C6E2F" w:rsidP="00F6663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92" w:type="dxa"/>
          </w:tcPr>
          <w:p w:rsidR="008C6E2F" w:rsidRPr="00332368" w:rsidRDefault="008C6E2F" w:rsidP="008C6E2F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>Lab Networking and Networking Accessories (CEJ and University Library)</w:t>
            </w:r>
            <w:r w:rsidRPr="00332368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  <w:vMerge/>
          </w:tcPr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C6E2F" w:rsidRPr="00332368" w:rsidRDefault="008C6E2F" w:rsidP="00F666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36,000/-</w:t>
            </w:r>
          </w:p>
          <w:p w:rsidR="008C6E2F" w:rsidRPr="00332368" w:rsidRDefault="008C6E2F" w:rsidP="00F66639">
            <w:pPr>
              <w:spacing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8C6E2F" w:rsidRPr="00332368" w:rsidTr="00F66639">
        <w:tc>
          <w:tcPr>
            <w:tcW w:w="918" w:type="dxa"/>
          </w:tcPr>
          <w:p w:rsidR="008C6E2F" w:rsidRPr="00332368" w:rsidRDefault="008C6E2F" w:rsidP="00F6663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92" w:type="dxa"/>
          </w:tcPr>
          <w:p w:rsidR="008C6E2F" w:rsidRPr="00332368" w:rsidRDefault="008C6E2F" w:rsidP="008C6E2F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 xml:space="preserve">Printers (15 Nos.) and </w:t>
            </w:r>
            <w:proofErr w:type="spellStart"/>
            <w:r w:rsidRPr="00332368">
              <w:rPr>
                <w:i/>
                <w:sz w:val="18"/>
                <w:szCs w:val="18"/>
              </w:rPr>
              <w:t>color</w:t>
            </w:r>
            <w:proofErr w:type="spellEnd"/>
            <w:r w:rsidRPr="00332368">
              <w:rPr>
                <w:i/>
                <w:sz w:val="18"/>
                <w:szCs w:val="18"/>
              </w:rPr>
              <w:t xml:space="preserve"> Laser Printer (1 No.)</w:t>
            </w:r>
          </w:p>
        </w:tc>
        <w:tc>
          <w:tcPr>
            <w:tcW w:w="1608" w:type="dxa"/>
            <w:vMerge/>
          </w:tcPr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C6E2F" w:rsidRPr="00332368" w:rsidRDefault="008C6E2F" w:rsidP="00F6663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13,000/-</w:t>
            </w:r>
          </w:p>
        </w:tc>
        <w:tc>
          <w:tcPr>
            <w:tcW w:w="1890" w:type="dxa"/>
            <w:vMerge/>
          </w:tcPr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8C6E2F" w:rsidRPr="00332368" w:rsidTr="00F66639">
        <w:tc>
          <w:tcPr>
            <w:tcW w:w="918" w:type="dxa"/>
          </w:tcPr>
          <w:p w:rsidR="008C6E2F" w:rsidRPr="00332368" w:rsidRDefault="008C6E2F" w:rsidP="00F6663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92" w:type="dxa"/>
          </w:tcPr>
          <w:p w:rsidR="008C6E2F" w:rsidRPr="00332368" w:rsidRDefault="008C6E2F" w:rsidP="008C6E2F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EDA Backend Tools (Globally Standard Tools) (CEH-ECE)</w:t>
            </w:r>
          </w:p>
        </w:tc>
        <w:tc>
          <w:tcPr>
            <w:tcW w:w="1608" w:type="dxa"/>
            <w:vMerge/>
          </w:tcPr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C6E2F" w:rsidRPr="00332368" w:rsidRDefault="008C6E2F" w:rsidP="00F666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Rs.10,000/-</w:t>
            </w:r>
          </w:p>
        </w:tc>
        <w:tc>
          <w:tcPr>
            <w:tcW w:w="1890" w:type="dxa"/>
            <w:vMerge/>
          </w:tcPr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8C6E2F" w:rsidRPr="00332368" w:rsidTr="00F66639">
        <w:tc>
          <w:tcPr>
            <w:tcW w:w="918" w:type="dxa"/>
          </w:tcPr>
          <w:p w:rsidR="008C6E2F" w:rsidRPr="00332368" w:rsidRDefault="008C6E2F" w:rsidP="00F66639">
            <w:pPr>
              <w:jc w:val="center"/>
              <w:rPr>
                <w:b/>
                <w:i/>
                <w:sz w:val="18"/>
                <w:szCs w:val="18"/>
              </w:rPr>
            </w:pPr>
            <w:r w:rsidRPr="00332368">
              <w:rPr>
                <w:b/>
                <w:i/>
                <w:sz w:val="18"/>
                <w:szCs w:val="18"/>
              </w:rPr>
              <w:t>Item 2</w:t>
            </w:r>
          </w:p>
        </w:tc>
        <w:tc>
          <w:tcPr>
            <w:tcW w:w="2892" w:type="dxa"/>
          </w:tcPr>
          <w:p w:rsidR="008C6E2F" w:rsidRPr="00332368" w:rsidRDefault="008C6E2F" w:rsidP="00F666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 xml:space="preserve">Digitalization/Metadata of </w:t>
            </w:r>
            <w:proofErr w:type="spellStart"/>
            <w:r w:rsidRPr="00332368">
              <w:rPr>
                <w:i/>
                <w:sz w:val="18"/>
                <w:szCs w:val="18"/>
              </w:rPr>
              <w:t>Ph.D</w:t>
            </w:r>
            <w:proofErr w:type="spellEnd"/>
            <w:r w:rsidRPr="00332368">
              <w:rPr>
                <w:i/>
                <w:sz w:val="18"/>
                <w:szCs w:val="18"/>
              </w:rPr>
              <w:t xml:space="preserve"> Theses (1.60 pages) for Univ. Library</w:t>
            </w:r>
          </w:p>
          <w:p w:rsidR="008C6E2F" w:rsidRPr="00332368" w:rsidRDefault="008C6E2F" w:rsidP="008C6E2F">
            <w:pPr>
              <w:numPr>
                <w:ilvl w:val="0"/>
                <w:numId w:val="2"/>
              </w:numPr>
              <w:ind w:left="260" w:hanging="284"/>
              <w:rPr>
                <w:rFonts w:eastAsia="Calibri" w:cs="Calibri"/>
                <w:i/>
                <w:sz w:val="18"/>
                <w:szCs w:val="18"/>
              </w:rPr>
            </w:pPr>
            <w:r w:rsidRPr="00332368">
              <w:rPr>
                <w:rFonts w:cs="Calibri"/>
                <w:i/>
                <w:sz w:val="18"/>
                <w:szCs w:val="18"/>
              </w:rPr>
              <w:t>(</w:t>
            </w:r>
            <w:r w:rsidRPr="00332368">
              <w:rPr>
                <w:rFonts w:eastAsia="Calibri" w:cs="Calibri"/>
                <w:i/>
                <w:sz w:val="18"/>
                <w:szCs w:val="18"/>
              </w:rPr>
              <w:t xml:space="preserve">Acrobat Adobe Reader (professional) latest version Abby Fine Reader (OCR software) latest version </w:t>
            </w:r>
          </w:p>
          <w:p w:rsidR="008C6E2F" w:rsidRPr="00332368" w:rsidRDefault="008C6E2F" w:rsidP="008C6E2F">
            <w:pPr>
              <w:numPr>
                <w:ilvl w:val="0"/>
                <w:numId w:val="2"/>
              </w:numPr>
              <w:ind w:left="260" w:hanging="284"/>
              <w:rPr>
                <w:b/>
                <w:i/>
                <w:sz w:val="18"/>
                <w:szCs w:val="18"/>
              </w:rPr>
            </w:pPr>
            <w:r w:rsidRPr="00332368">
              <w:rPr>
                <w:rFonts w:eastAsia="Calibri" w:cs="Calibri"/>
                <w:b/>
                <w:i/>
                <w:sz w:val="18"/>
                <w:szCs w:val="18"/>
              </w:rPr>
              <w:t>D Space</w:t>
            </w:r>
            <w:r w:rsidRPr="00332368">
              <w:rPr>
                <w:rFonts w:eastAsia="Calibri" w:cs="Calibri"/>
                <w:i/>
                <w:sz w:val="18"/>
                <w:szCs w:val="18"/>
              </w:rPr>
              <w:t xml:space="preserve"> software  latest version including installation customization backup Mechanism &amp; Training</w:t>
            </w:r>
          </w:p>
        </w:tc>
        <w:tc>
          <w:tcPr>
            <w:tcW w:w="1608" w:type="dxa"/>
          </w:tcPr>
          <w:p w:rsidR="008C6E2F" w:rsidRPr="00332368" w:rsidRDefault="008C6E2F" w:rsidP="00F66639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C6E2F" w:rsidRPr="00332368" w:rsidRDefault="008C6E2F" w:rsidP="00F66639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16,000/-</w:t>
            </w:r>
          </w:p>
        </w:tc>
        <w:tc>
          <w:tcPr>
            <w:tcW w:w="1890" w:type="dxa"/>
            <w:vMerge/>
          </w:tcPr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8C6E2F" w:rsidRPr="00332368" w:rsidTr="00F66639">
        <w:tc>
          <w:tcPr>
            <w:tcW w:w="918" w:type="dxa"/>
          </w:tcPr>
          <w:p w:rsidR="008C6E2F" w:rsidRPr="00332368" w:rsidRDefault="008C6E2F" w:rsidP="00F66639">
            <w:pPr>
              <w:jc w:val="center"/>
              <w:rPr>
                <w:b/>
                <w:i/>
                <w:sz w:val="18"/>
                <w:szCs w:val="18"/>
              </w:rPr>
            </w:pPr>
            <w:r w:rsidRPr="00332368">
              <w:rPr>
                <w:b/>
                <w:i/>
                <w:sz w:val="18"/>
                <w:szCs w:val="18"/>
              </w:rPr>
              <w:t>Item 3</w:t>
            </w:r>
          </w:p>
        </w:tc>
        <w:tc>
          <w:tcPr>
            <w:tcW w:w="2892" w:type="dxa"/>
          </w:tcPr>
          <w:p w:rsidR="008C6E2F" w:rsidRPr="00332368" w:rsidRDefault="008C6E2F" w:rsidP="00F6663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>3 D Printer, Servers, Computer Desktops, Clementine Software for SIT</w:t>
            </w:r>
          </w:p>
        </w:tc>
        <w:tc>
          <w:tcPr>
            <w:tcW w:w="1608" w:type="dxa"/>
          </w:tcPr>
          <w:p w:rsidR="008C6E2F" w:rsidRPr="00332368" w:rsidRDefault="008C6E2F" w:rsidP="00F66639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C6E2F" w:rsidRPr="00332368" w:rsidRDefault="008C6E2F" w:rsidP="00F66639">
            <w:pPr>
              <w:spacing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Rs.78,000/-</w:t>
            </w:r>
          </w:p>
        </w:tc>
        <w:tc>
          <w:tcPr>
            <w:tcW w:w="1890" w:type="dxa"/>
            <w:vMerge/>
          </w:tcPr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8C6E2F" w:rsidRPr="00332368" w:rsidTr="00F66639">
        <w:tc>
          <w:tcPr>
            <w:tcW w:w="918" w:type="dxa"/>
          </w:tcPr>
          <w:p w:rsidR="008C6E2F" w:rsidRPr="00332368" w:rsidRDefault="008C6E2F" w:rsidP="00F66639">
            <w:pPr>
              <w:jc w:val="center"/>
              <w:rPr>
                <w:b/>
                <w:i/>
                <w:sz w:val="18"/>
                <w:szCs w:val="18"/>
              </w:rPr>
            </w:pPr>
            <w:r w:rsidRPr="00332368">
              <w:rPr>
                <w:b/>
                <w:i/>
                <w:sz w:val="18"/>
                <w:szCs w:val="18"/>
              </w:rPr>
              <w:t>Item 4</w:t>
            </w:r>
          </w:p>
        </w:tc>
        <w:tc>
          <w:tcPr>
            <w:tcW w:w="2892" w:type="dxa"/>
          </w:tcPr>
          <w:p w:rsidR="008C6E2F" w:rsidRPr="00332368" w:rsidRDefault="008C6E2F" w:rsidP="008C6E2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1"/>
              <w:jc w:val="both"/>
              <w:rPr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 xml:space="preserve">Air conditioner 2.0 ton (4 </w:t>
            </w:r>
            <w:proofErr w:type="spellStart"/>
            <w:r w:rsidRPr="00332368">
              <w:rPr>
                <w:i/>
                <w:sz w:val="18"/>
                <w:szCs w:val="18"/>
              </w:rPr>
              <w:t>Nos</w:t>
            </w:r>
            <w:proofErr w:type="spellEnd"/>
            <w:r w:rsidRPr="00332368">
              <w:rPr>
                <w:i/>
                <w:sz w:val="18"/>
                <w:szCs w:val="18"/>
              </w:rPr>
              <w:t>) (CEJ)</w:t>
            </w:r>
          </w:p>
          <w:p w:rsidR="008C6E2F" w:rsidRPr="00332368" w:rsidRDefault="008C6E2F" w:rsidP="008C6E2F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b/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>20 KVA UPS (1NO.) (Univ. Library) and 15 KVA UPS (1 No.) along with batteries (CEJ)</w:t>
            </w:r>
          </w:p>
        </w:tc>
        <w:tc>
          <w:tcPr>
            <w:tcW w:w="1608" w:type="dxa"/>
          </w:tcPr>
          <w:p w:rsidR="008C6E2F" w:rsidRPr="00332368" w:rsidRDefault="008C6E2F" w:rsidP="00F66639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C6E2F" w:rsidRPr="00332368" w:rsidRDefault="008C6E2F" w:rsidP="00F666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10,000/-</w:t>
            </w:r>
          </w:p>
          <w:p w:rsidR="008C6E2F" w:rsidRPr="00332368" w:rsidRDefault="008C6E2F" w:rsidP="00F66639">
            <w:pPr>
              <w:jc w:val="right"/>
              <w:rPr>
                <w:b/>
                <w:sz w:val="18"/>
                <w:szCs w:val="18"/>
              </w:rPr>
            </w:pPr>
          </w:p>
          <w:p w:rsidR="008C6E2F" w:rsidRPr="00332368" w:rsidRDefault="008C6E2F" w:rsidP="00F66639">
            <w:pPr>
              <w:jc w:val="right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20,000/-</w:t>
            </w:r>
          </w:p>
        </w:tc>
        <w:tc>
          <w:tcPr>
            <w:tcW w:w="1890" w:type="dxa"/>
            <w:vMerge/>
          </w:tcPr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8C6E2F" w:rsidRPr="00332368" w:rsidTr="00F66639">
        <w:tc>
          <w:tcPr>
            <w:tcW w:w="918" w:type="dxa"/>
          </w:tcPr>
          <w:p w:rsidR="008C6E2F" w:rsidRPr="00332368" w:rsidRDefault="008C6E2F" w:rsidP="00F66639">
            <w:pPr>
              <w:jc w:val="center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Item 5</w:t>
            </w:r>
          </w:p>
        </w:tc>
        <w:tc>
          <w:tcPr>
            <w:tcW w:w="2892" w:type="dxa"/>
          </w:tcPr>
          <w:p w:rsidR="008C6E2F" w:rsidRPr="00332368" w:rsidRDefault="008C6E2F" w:rsidP="008C6E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1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Partial Discharge Measuring System (CEH-EEE)</w:t>
            </w:r>
          </w:p>
          <w:p w:rsidR="008C6E2F" w:rsidRPr="00332368" w:rsidRDefault="008C6E2F" w:rsidP="008C6E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1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Electrical machines II lab OC, SC Test (CEM-EEE)</w:t>
            </w:r>
          </w:p>
          <w:p w:rsidR="008C6E2F" w:rsidRPr="00332368" w:rsidRDefault="008C6E2F" w:rsidP="008C6E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b/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DC machines lab equipment (CEM-EEE)</w:t>
            </w:r>
          </w:p>
        </w:tc>
        <w:tc>
          <w:tcPr>
            <w:tcW w:w="1608" w:type="dxa"/>
          </w:tcPr>
          <w:p w:rsidR="008C6E2F" w:rsidRPr="00332368" w:rsidRDefault="008C6E2F" w:rsidP="00F66639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C6E2F" w:rsidRPr="00332368" w:rsidRDefault="008C6E2F" w:rsidP="00F666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60,000/-</w:t>
            </w:r>
          </w:p>
          <w:p w:rsidR="008C6E2F" w:rsidRPr="00332368" w:rsidRDefault="008C6E2F" w:rsidP="00F66639">
            <w:pPr>
              <w:jc w:val="right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(a)</w:t>
            </w:r>
          </w:p>
          <w:p w:rsidR="008C6E2F" w:rsidRPr="00332368" w:rsidRDefault="008C6E2F" w:rsidP="00F66639">
            <w:pPr>
              <w:jc w:val="right"/>
              <w:rPr>
                <w:b/>
                <w:sz w:val="18"/>
                <w:szCs w:val="18"/>
              </w:rPr>
            </w:pPr>
          </w:p>
          <w:p w:rsidR="008C6E2F" w:rsidRPr="00332368" w:rsidRDefault="008C6E2F" w:rsidP="00F66639">
            <w:pPr>
              <w:jc w:val="right"/>
              <w:rPr>
                <w:i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33,000/-</w:t>
            </w:r>
          </w:p>
          <w:p w:rsidR="008C6E2F" w:rsidRPr="00332368" w:rsidRDefault="008C6E2F" w:rsidP="00F66639">
            <w:pPr>
              <w:jc w:val="right"/>
              <w:rPr>
                <w:b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>(</w:t>
            </w:r>
            <w:proofErr w:type="spellStart"/>
            <w:r w:rsidRPr="00332368">
              <w:rPr>
                <w:i/>
                <w:sz w:val="18"/>
                <w:szCs w:val="18"/>
              </w:rPr>
              <w:t>b&amp;c</w:t>
            </w:r>
            <w:proofErr w:type="spellEnd"/>
            <w:r w:rsidRPr="003323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90" w:type="dxa"/>
            <w:vMerge/>
          </w:tcPr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8C6E2F" w:rsidRPr="00332368" w:rsidTr="00F66639">
        <w:tc>
          <w:tcPr>
            <w:tcW w:w="918" w:type="dxa"/>
          </w:tcPr>
          <w:p w:rsidR="008C6E2F" w:rsidRPr="00332368" w:rsidRDefault="008C6E2F" w:rsidP="00F66639">
            <w:pPr>
              <w:jc w:val="center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 xml:space="preserve">Item 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92" w:type="dxa"/>
          </w:tcPr>
          <w:p w:rsidR="008C6E2F" w:rsidRPr="00332368" w:rsidRDefault="008C6E2F" w:rsidP="008C6E2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Test Ring with smoke meter (CEH-ME)</w:t>
            </w:r>
          </w:p>
          <w:p w:rsidR="008C6E2F" w:rsidRPr="00332368" w:rsidRDefault="008C6E2F" w:rsidP="008C6E2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Wear Tester (CEH-ME)</w:t>
            </w:r>
          </w:p>
          <w:p w:rsidR="008C6E2F" w:rsidRPr="00332368" w:rsidRDefault="008C6E2F" w:rsidP="008C6E2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 xml:space="preserve">Thermal </w:t>
            </w:r>
            <w:proofErr w:type="spellStart"/>
            <w:r w:rsidRPr="00332368">
              <w:rPr>
                <w:sz w:val="18"/>
                <w:szCs w:val="18"/>
              </w:rPr>
              <w:t>Engg</w:t>
            </w:r>
            <w:proofErr w:type="spellEnd"/>
            <w:r w:rsidRPr="00332368">
              <w:rPr>
                <w:sz w:val="18"/>
                <w:szCs w:val="18"/>
              </w:rPr>
              <w:t xml:space="preserve"> Lab (CEM-ME)</w:t>
            </w:r>
          </w:p>
          <w:p w:rsidR="008C6E2F" w:rsidRPr="00332368" w:rsidRDefault="008C6E2F" w:rsidP="008C6E2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0"/>
              <w:contextualSpacing w:val="0"/>
              <w:jc w:val="both"/>
              <w:rPr>
                <w:i/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Machines Tool lab (CEM-ME)</w:t>
            </w:r>
          </w:p>
        </w:tc>
        <w:tc>
          <w:tcPr>
            <w:tcW w:w="1608" w:type="dxa"/>
          </w:tcPr>
          <w:p w:rsidR="008C6E2F" w:rsidRPr="00332368" w:rsidRDefault="008C6E2F" w:rsidP="00F66639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C6E2F" w:rsidRPr="00332368" w:rsidRDefault="008C6E2F" w:rsidP="00F6663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27,000/- (</w:t>
            </w:r>
            <w:proofErr w:type="spellStart"/>
            <w:r w:rsidRPr="00332368">
              <w:rPr>
                <w:sz w:val="18"/>
                <w:szCs w:val="18"/>
              </w:rPr>
              <w:t>a&amp;b</w:t>
            </w:r>
            <w:proofErr w:type="spellEnd"/>
            <w:r w:rsidRPr="00332368">
              <w:rPr>
                <w:sz w:val="18"/>
                <w:szCs w:val="18"/>
              </w:rPr>
              <w:t>)</w:t>
            </w:r>
          </w:p>
          <w:p w:rsidR="008C6E2F" w:rsidRDefault="008C6E2F" w:rsidP="00F666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8C6E2F" w:rsidRPr="00332368" w:rsidRDefault="008C6E2F" w:rsidP="00F6663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15,000/-</w:t>
            </w:r>
          </w:p>
          <w:p w:rsidR="008C6E2F" w:rsidRPr="00332368" w:rsidRDefault="008C6E2F" w:rsidP="00F66639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54,000/-</w:t>
            </w:r>
          </w:p>
        </w:tc>
        <w:tc>
          <w:tcPr>
            <w:tcW w:w="1890" w:type="dxa"/>
            <w:vMerge/>
          </w:tcPr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</w:tbl>
    <w:p w:rsidR="008C6E2F" w:rsidRDefault="008C6E2F" w:rsidP="008C6E2F">
      <w:r>
        <w:br w:type="page"/>
      </w:r>
    </w:p>
    <w:p w:rsidR="008C6E2F" w:rsidRDefault="008C6E2F" w:rsidP="008C6E2F"/>
    <w:tbl>
      <w:tblPr>
        <w:tblStyle w:val="TableGrid"/>
        <w:tblW w:w="0" w:type="auto"/>
        <w:tblLook w:val="04A0"/>
      </w:tblPr>
      <w:tblGrid>
        <w:gridCol w:w="918"/>
        <w:gridCol w:w="2892"/>
        <w:gridCol w:w="1608"/>
        <w:gridCol w:w="1350"/>
        <w:gridCol w:w="1890"/>
      </w:tblGrid>
      <w:tr w:rsidR="008C6E2F" w:rsidRPr="00332368" w:rsidTr="00F66639">
        <w:tc>
          <w:tcPr>
            <w:tcW w:w="918" w:type="dxa"/>
          </w:tcPr>
          <w:p w:rsidR="008C6E2F" w:rsidRPr="00332368" w:rsidRDefault="008C6E2F" w:rsidP="00F66639">
            <w:pPr>
              <w:jc w:val="center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 xml:space="preserve">Item 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92" w:type="dxa"/>
          </w:tcPr>
          <w:p w:rsidR="008C6E2F" w:rsidRPr="00332368" w:rsidRDefault="008C6E2F" w:rsidP="008C6E2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 xml:space="preserve">Digital Ultrasonic </w:t>
            </w:r>
            <w:proofErr w:type="spellStart"/>
            <w:r w:rsidRPr="00332368">
              <w:rPr>
                <w:sz w:val="18"/>
                <w:szCs w:val="18"/>
              </w:rPr>
              <w:t>Fla</w:t>
            </w:r>
            <w:proofErr w:type="spellEnd"/>
            <w:r w:rsidRPr="00332368">
              <w:rPr>
                <w:sz w:val="18"/>
                <w:szCs w:val="18"/>
              </w:rPr>
              <w:t xml:space="preserve"> Detector</w:t>
            </w:r>
          </w:p>
          <w:p w:rsidR="008C6E2F" w:rsidRPr="00332368" w:rsidRDefault="008C6E2F" w:rsidP="008C6E2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Mini rolling Mill (CEH-Metallurgy)</w:t>
            </w:r>
          </w:p>
        </w:tc>
        <w:tc>
          <w:tcPr>
            <w:tcW w:w="1608" w:type="dxa"/>
          </w:tcPr>
          <w:p w:rsidR="008C6E2F" w:rsidRPr="00332368" w:rsidRDefault="008C6E2F" w:rsidP="00F66639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C6E2F" w:rsidRPr="00332368" w:rsidRDefault="008C6E2F" w:rsidP="00F66639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18,000/-</w:t>
            </w:r>
          </w:p>
        </w:tc>
        <w:tc>
          <w:tcPr>
            <w:tcW w:w="1890" w:type="dxa"/>
            <w:vMerge w:val="restart"/>
            <w:vAlign w:val="center"/>
          </w:tcPr>
          <w:p w:rsidR="008C6E2F" w:rsidRPr="00332368" w:rsidRDefault="008C6E2F" w:rsidP="00F6663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26.04.2017 @ 4.30 pm</w:t>
            </w:r>
          </w:p>
        </w:tc>
      </w:tr>
      <w:tr w:rsidR="008C6E2F" w:rsidRPr="00332368" w:rsidTr="00F66639">
        <w:tc>
          <w:tcPr>
            <w:tcW w:w="918" w:type="dxa"/>
          </w:tcPr>
          <w:p w:rsidR="008C6E2F" w:rsidRPr="00332368" w:rsidRDefault="008C6E2F" w:rsidP="00F66639">
            <w:pPr>
              <w:jc w:val="center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 xml:space="preserve">Item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92" w:type="dxa"/>
          </w:tcPr>
          <w:p w:rsidR="008C6E2F" w:rsidRPr="00332368" w:rsidRDefault="008C6E2F" w:rsidP="008C6E2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Environmental Engineering Lab and Surveying Lab (CEM-CE)</w:t>
            </w:r>
          </w:p>
          <w:p w:rsidR="008C6E2F" w:rsidRPr="00332368" w:rsidRDefault="008C6E2F" w:rsidP="008C6E2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 xml:space="preserve">Transportation </w:t>
            </w:r>
            <w:proofErr w:type="spellStart"/>
            <w:r w:rsidRPr="00332368">
              <w:rPr>
                <w:sz w:val="18"/>
                <w:szCs w:val="18"/>
              </w:rPr>
              <w:t>Engg</w:t>
            </w:r>
            <w:proofErr w:type="spellEnd"/>
            <w:r w:rsidRPr="00332368">
              <w:rPr>
                <w:sz w:val="18"/>
                <w:szCs w:val="18"/>
              </w:rPr>
              <w:t xml:space="preserve"> Lab (CEH-CE)</w:t>
            </w:r>
          </w:p>
        </w:tc>
        <w:tc>
          <w:tcPr>
            <w:tcW w:w="1608" w:type="dxa"/>
          </w:tcPr>
          <w:p w:rsidR="008C6E2F" w:rsidRPr="00332368" w:rsidRDefault="008C6E2F" w:rsidP="00F66639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C6E2F" w:rsidRPr="00332368" w:rsidRDefault="008C6E2F" w:rsidP="00F6663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45,000/-</w:t>
            </w:r>
          </w:p>
          <w:p w:rsidR="008C6E2F" w:rsidRPr="00465AE9" w:rsidRDefault="008C6E2F" w:rsidP="00F66639">
            <w:pPr>
              <w:spacing w:after="120"/>
              <w:jc w:val="right"/>
              <w:rPr>
                <w:b/>
                <w:sz w:val="6"/>
                <w:szCs w:val="18"/>
              </w:rPr>
            </w:pPr>
          </w:p>
          <w:p w:rsidR="008C6E2F" w:rsidRPr="00332368" w:rsidRDefault="008C6E2F" w:rsidP="00F66639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10,000/-</w:t>
            </w:r>
          </w:p>
        </w:tc>
        <w:tc>
          <w:tcPr>
            <w:tcW w:w="1890" w:type="dxa"/>
            <w:vMerge/>
          </w:tcPr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8C6E2F" w:rsidRPr="00332368" w:rsidTr="00F66639">
        <w:tc>
          <w:tcPr>
            <w:tcW w:w="918" w:type="dxa"/>
          </w:tcPr>
          <w:p w:rsidR="008C6E2F" w:rsidRPr="00332368" w:rsidRDefault="008C6E2F" w:rsidP="00F66639">
            <w:pPr>
              <w:jc w:val="center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 xml:space="preserve">Item 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92" w:type="dxa"/>
          </w:tcPr>
          <w:p w:rsidR="008C6E2F" w:rsidRPr="00332368" w:rsidRDefault="008C6E2F" w:rsidP="008C6E2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2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 xml:space="preserve">Digital </w:t>
            </w:r>
            <w:proofErr w:type="spellStart"/>
            <w:r w:rsidRPr="00332368">
              <w:rPr>
                <w:sz w:val="18"/>
                <w:szCs w:val="18"/>
              </w:rPr>
              <w:t>Photogrammetry</w:t>
            </w:r>
            <w:proofErr w:type="spellEnd"/>
            <w:r w:rsidRPr="00332368">
              <w:rPr>
                <w:sz w:val="18"/>
                <w:szCs w:val="18"/>
              </w:rPr>
              <w:t xml:space="preserve"> work station 2016 (IST-CSIT)</w:t>
            </w:r>
          </w:p>
          <w:p w:rsidR="008C6E2F" w:rsidRPr="00332368" w:rsidRDefault="008C6E2F" w:rsidP="008C6E2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2"/>
              <w:jc w:val="both"/>
              <w:rPr>
                <w:sz w:val="18"/>
                <w:szCs w:val="18"/>
              </w:rPr>
            </w:pPr>
            <w:r w:rsidRPr="00332368">
              <w:rPr>
                <w:rFonts w:asciiTheme="minorHAnsi" w:hAnsiTheme="minorHAnsi" w:cstheme="minorHAnsi"/>
                <w:sz w:val="18"/>
                <w:szCs w:val="18"/>
              </w:rPr>
              <w:t xml:space="preserve">Spray Dryer with accessories (1),  Stability Chambers for different temperatures (2) </w:t>
            </w:r>
          </w:p>
          <w:p w:rsidR="008C6E2F" w:rsidRPr="00332368" w:rsidRDefault="008C6E2F" w:rsidP="00F66639">
            <w:pPr>
              <w:pStyle w:val="ListParagraph"/>
              <w:widowControl w:val="0"/>
              <w:autoSpaceDE w:val="0"/>
              <w:autoSpaceDN w:val="0"/>
              <w:adjustRightInd w:val="0"/>
              <w:ind w:left="332"/>
              <w:jc w:val="both"/>
              <w:rPr>
                <w:sz w:val="18"/>
                <w:szCs w:val="18"/>
              </w:rPr>
            </w:pPr>
            <w:r w:rsidRPr="00332368">
              <w:rPr>
                <w:rFonts w:asciiTheme="minorHAnsi" w:hAnsiTheme="minorHAnsi" w:cstheme="minorHAnsi"/>
                <w:sz w:val="18"/>
                <w:szCs w:val="18"/>
              </w:rPr>
              <w:t>(IST-CPS)</w:t>
            </w:r>
          </w:p>
        </w:tc>
        <w:tc>
          <w:tcPr>
            <w:tcW w:w="1608" w:type="dxa"/>
          </w:tcPr>
          <w:p w:rsidR="008C6E2F" w:rsidRPr="00332368" w:rsidRDefault="008C6E2F" w:rsidP="00F66639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C6E2F" w:rsidRPr="00332368" w:rsidRDefault="008C6E2F" w:rsidP="00F66639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Rs.18,000/-</w:t>
            </w:r>
          </w:p>
          <w:p w:rsidR="008C6E2F" w:rsidRPr="00332368" w:rsidRDefault="008C6E2F" w:rsidP="00F66639">
            <w:pPr>
              <w:spacing w:after="120"/>
              <w:jc w:val="right"/>
              <w:rPr>
                <w:sz w:val="18"/>
                <w:szCs w:val="18"/>
              </w:rPr>
            </w:pPr>
          </w:p>
          <w:p w:rsidR="008C6E2F" w:rsidRPr="00332368" w:rsidRDefault="008C6E2F" w:rsidP="00F66639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Rs.12,000/-</w:t>
            </w:r>
          </w:p>
        </w:tc>
        <w:tc>
          <w:tcPr>
            <w:tcW w:w="1890" w:type="dxa"/>
            <w:vMerge/>
          </w:tcPr>
          <w:p w:rsidR="008C6E2F" w:rsidRPr="00332368" w:rsidRDefault="008C6E2F" w:rsidP="00F66639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</w:tbl>
    <w:p w:rsidR="008C6E2F" w:rsidRDefault="008C6E2F" w:rsidP="008C6E2F">
      <w:pPr>
        <w:spacing w:after="120" w:line="240" w:lineRule="auto"/>
        <w:jc w:val="both"/>
        <w:rPr>
          <w:rFonts w:cs="Times New Roman"/>
          <w:sz w:val="18"/>
          <w:szCs w:val="24"/>
        </w:rPr>
      </w:pPr>
    </w:p>
    <w:p w:rsidR="008C6E2F" w:rsidRPr="0068799E" w:rsidRDefault="008C6E2F" w:rsidP="008C6E2F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  <w:r w:rsidRPr="0068799E">
        <w:rPr>
          <w:rFonts w:cs="Times New Roman"/>
          <w:sz w:val="24"/>
          <w:szCs w:val="24"/>
        </w:rPr>
        <w:t>Interested bidders can collect the Tender document for each item separately from the office of the Director, Academics &amp; Planning,</w:t>
      </w:r>
      <w:r w:rsidRPr="0068799E">
        <w:rPr>
          <w:color w:val="FF0000"/>
          <w:sz w:val="24"/>
          <w:szCs w:val="24"/>
        </w:rPr>
        <w:t xml:space="preserve"> </w:t>
      </w:r>
      <w:r w:rsidRPr="0068799E">
        <w:rPr>
          <w:rFonts w:cs="Times New Roman"/>
          <w:sz w:val="24"/>
          <w:szCs w:val="24"/>
        </w:rPr>
        <w:t>JNTUH from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24.04</w:t>
      </w:r>
      <w:r w:rsidRPr="000E6E08">
        <w:rPr>
          <w:rFonts w:cs="Times New Roman"/>
          <w:b/>
          <w:sz w:val="24"/>
          <w:szCs w:val="24"/>
        </w:rPr>
        <w:t>.201</w:t>
      </w:r>
      <w:r>
        <w:rPr>
          <w:rFonts w:cs="Times New Roman"/>
          <w:b/>
          <w:sz w:val="24"/>
          <w:szCs w:val="24"/>
        </w:rPr>
        <w:t>7</w:t>
      </w:r>
      <w:r w:rsidRPr="000E6E08">
        <w:rPr>
          <w:rFonts w:cs="Times New Roman"/>
          <w:b/>
          <w:sz w:val="24"/>
          <w:szCs w:val="24"/>
        </w:rPr>
        <w:t xml:space="preserve"> from 11.00 AM to 04.30 PM</w:t>
      </w:r>
      <w:r w:rsidRPr="0068799E">
        <w:rPr>
          <w:rFonts w:cs="Times New Roman"/>
          <w:sz w:val="24"/>
          <w:szCs w:val="24"/>
        </w:rPr>
        <w:t xml:space="preserve"> against payment of </w:t>
      </w:r>
      <w:r w:rsidRPr="000E6E08">
        <w:rPr>
          <w:rFonts w:cs="Times New Roman"/>
          <w:b/>
          <w:sz w:val="24"/>
          <w:szCs w:val="24"/>
        </w:rPr>
        <w:t>Rs. 5,000/-</w:t>
      </w:r>
      <w:r>
        <w:rPr>
          <w:rFonts w:cs="Times New Roman"/>
          <w:sz w:val="24"/>
          <w:szCs w:val="24"/>
        </w:rPr>
        <w:t xml:space="preserve"> </w:t>
      </w:r>
      <w:r w:rsidRPr="0068799E">
        <w:rPr>
          <w:rFonts w:cs="Times New Roman"/>
          <w:sz w:val="24"/>
          <w:szCs w:val="24"/>
        </w:rPr>
        <w:t>(Rupees five thousand only)</w:t>
      </w:r>
      <w:r>
        <w:rPr>
          <w:rFonts w:cs="Times New Roman"/>
          <w:sz w:val="24"/>
          <w:szCs w:val="24"/>
        </w:rPr>
        <w:t xml:space="preserve"> for each item</w:t>
      </w:r>
      <w:r w:rsidRPr="0068799E">
        <w:rPr>
          <w:rFonts w:cs="Times New Roman"/>
          <w:sz w:val="24"/>
          <w:szCs w:val="24"/>
        </w:rPr>
        <w:t xml:space="preserve"> towards the cost of Tender document fee (non-refundable and cannot be exempted in any condition) through Demand Draft from any nationalized bank, payable to REGISTRAR, JNTUH at Hyderabad. The tender form is</w:t>
      </w:r>
      <w:r>
        <w:rPr>
          <w:rFonts w:cs="Times New Roman"/>
          <w:sz w:val="24"/>
          <w:szCs w:val="24"/>
        </w:rPr>
        <w:t xml:space="preserve"> </w:t>
      </w:r>
      <w:r w:rsidRPr="0068799E">
        <w:rPr>
          <w:rFonts w:cs="Times New Roman"/>
          <w:sz w:val="24"/>
          <w:szCs w:val="24"/>
        </w:rPr>
        <w:t xml:space="preserve">non-transferable and should be purchased in the exclusive name of the party who has to actually submit the </w:t>
      </w:r>
      <w:r w:rsidRPr="0080798D">
        <w:rPr>
          <w:rFonts w:cs="Times New Roman"/>
          <w:sz w:val="24"/>
          <w:szCs w:val="24"/>
        </w:rPr>
        <w:t>offer</w:t>
      </w:r>
      <w:r w:rsidRPr="0068799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 </w:t>
      </w:r>
      <w:r w:rsidRPr="0068799E">
        <w:rPr>
          <w:rFonts w:cs="Times New Roman"/>
          <w:sz w:val="24"/>
          <w:szCs w:val="24"/>
        </w:rPr>
        <w:t>Last date of submission of tender along with EMD as specified in the bid document is on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01.05.2017</w:t>
      </w:r>
      <w:r>
        <w:rPr>
          <w:rFonts w:cs="Times New Roman"/>
          <w:sz w:val="24"/>
          <w:szCs w:val="24"/>
        </w:rPr>
        <w:t xml:space="preserve"> </w:t>
      </w:r>
      <w:r w:rsidRPr="000E6E08">
        <w:rPr>
          <w:rFonts w:cs="Times New Roman"/>
          <w:b/>
          <w:sz w:val="24"/>
          <w:szCs w:val="24"/>
        </w:rPr>
        <w:t>before 3.00 pm</w:t>
      </w:r>
      <w:r w:rsidRPr="0068799E">
        <w:rPr>
          <w:rFonts w:cs="Times New Roman"/>
          <w:sz w:val="24"/>
          <w:szCs w:val="24"/>
        </w:rPr>
        <w:t>.</w:t>
      </w:r>
    </w:p>
    <w:p w:rsidR="008C6E2F" w:rsidRPr="000E6E08" w:rsidRDefault="008C6E2F" w:rsidP="008C6E2F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  <w:r w:rsidRPr="000E6E08">
        <w:rPr>
          <w:rFonts w:cs="Times New Roman"/>
          <w:sz w:val="24"/>
          <w:szCs w:val="24"/>
        </w:rPr>
        <w:t xml:space="preserve">The Tender system is </w:t>
      </w:r>
      <w:r>
        <w:rPr>
          <w:rFonts w:cs="Times New Roman"/>
          <w:sz w:val="24"/>
          <w:szCs w:val="24"/>
        </w:rPr>
        <w:t>TWO</w:t>
      </w:r>
      <w:r w:rsidRPr="000E6E08">
        <w:rPr>
          <w:rFonts w:cs="Times New Roman"/>
          <w:sz w:val="24"/>
          <w:szCs w:val="24"/>
        </w:rPr>
        <w:t>-BID SYSTEM i.e. “</w:t>
      </w:r>
      <w:r>
        <w:rPr>
          <w:rFonts w:cs="Times New Roman"/>
          <w:sz w:val="24"/>
          <w:szCs w:val="24"/>
        </w:rPr>
        <w:t>Pre-qualification”, “</w:t>
      </w:r>
      <w:r w:rsidRPr="000E6E08">
        <w:rPr>
          <w:rFonts w:cs="Times New Roman"/>
          <w:sz w:val="24"/>
          <w:szCs w:val="24"/>
        </w:rPr>
        <w:t>Technical and Financial” Bids.</w:t>
      </w:r>
    </w:p>
    <w:p w:rsidR="008C6E2F" w:rsidRPr="000E6E08" w:rsidRDefault="008C6E2F" w:rsidP="008C6E2F">
      <w:pPr>
        <w:spacing w:after="120" w:line="240" w:lineRule="auto"/>
        <w:ind w:firstLine="720"/>
        <w:jc w:val="both"/>
        <w:rPr>
          <w:sz w:val="24"/>
          <w:szCs w:val="24"/>
        </w:rPr>
      </w:pPr>
      <w:r w:rsidRPr="000E6E08">
        <w:rPr>
          <w:sz w:val="24"/>
          <w:szCs w:val="24"/>
        </w:rPr>
        <w:t xml:space="preserve">The Registrar reserves the right to defer the purchase of any item or all the items without any notice and without assigning any reason.    </w:t>
      </w:r>
    </w:p>
    <w:p w:rsidR="008C6E2F" w:rsidRDefault="008C6E2F" w:rsidP="008C6E2F">
      <w:pPr>
        <w:tabs>
          <w:tab w:val="left" w:pos="720"/>
        </w:tabs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8C6E2F" w:rsidRDefault="00DE22E1" w:rsidP="008C6E2F">
      <w:pPr>
        <w:tabs>
          <w:tab w:val="left" w:pos="720"/>
        </w:tabs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Sd/-xxxxxx</w:t>
      </w:r>
    </w:p>
    <w:p w:rsidR="008C6E2F" w:rsidRPr="00466803" w:rsidRDefault="008C6E2F" w:rsidP="008C6E2F">
      <w:pPr>
        <w:tabs>
          <w:tab w:val="left" w:pos="720"/>
        </w:tabs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  <w:t xml:space="preserve"> REGISTRAR </w:t>
      </w:r>
    </w:p>
    <w:p w:rsidR="00500B54" w:rsidRDefault="00500B54"/>
    <w:sectPr w:rsidR="00500B54" w:rsidSect="00986A70"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746"/>
    <w:multiLevelType w:val="hybridMultilevel"/>
    <w:tmpl w:val="030082CC"/>
    <w:lvl w:ilvl="0" w:tplc="54FC9F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6E3BF8"/>
    <w:multiLevelType w:val="hybridMultilevel"/>
    <w:tmpl w:val="87A8D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68F3"/>
    <w:multiLevelType w:val="hybridMultilevel"/>
    <w:tmpl w:val="1C44C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76CB"/>
    <w:multiLevelType w:val="hybridMultilevel"/>
    <w:tmpl w:val="478AE13E"/>
    <w:lvl w:ilvl="0" w:tplc="EEDAB2B8">
      <w:numFmt w:val="bullet"/>
      <w:lvlText w:val=""/>
      <w:lvlJc w:val="left"/>
      <w:pPr>
        <w:tabs>
          <w:tab w:val="num" w:pos="-540"/>
        </w:tabs>
        <w:ind w:left="-540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433EA"/>
    <w:multiLevelType w:val="hybridMultilevel"/>
    <w:tmpl w:val="DCD8D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B098C"/>
    <w:multiLevelType w:val="multilevel"/>
    <w:tmpl w:val="EBF4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46DCD"/>
    <w:multiLevelType w:val="hybridMultilevel"/>
    <w:tmpl w:val="A55EA0CC"/>
    <w:lvl w:ilvl="0" w:tplc="D02E0C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6E2F"/>
    <w:rsid w:val="00500B54"/>
    <w:rsid w:val="008C6E2F"/>
    <w:rsid w:val="00DE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6E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E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C6E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C6E2F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rsid w:val="008C6E2F"/>
    <w:pPr>
      <w:spacing w:after="0" w:line="240" w:lineRule="auto"/>
    </w:pPr>
    <w:rPr>
      <w:rFonts w:ascii="Calibri" w:eastAsiaTheme="minorHAnsi" w:hAnsi="Calibri" w:cs="Times New Roman"/>
      <w:sz w:val="24"/>
      <w:szCs w:val="24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8C6E2F"/>
    <w:pPr>
      <w:ind w:left="720"/>
      <w:contextualSpacing/>
    </w:pPr>
  </w:style>
  <w:style w:type="character" w:customStyle="1" w:styleId="ListParagraphChar">
    <w:name w:val="List Paragraph Char"/>
    <w:link w:val="ListParagraph"/>
    <w:rsid w:val="008C6E2F"/>
  </w:style>
  <w:style w:type="character" w:styleId="Strong">
    <w:name w:val="Strong"/>
    <w:basedOn w:val="DefaultParagraphFont"/>
    <w:qFormat/>
    <w:rsid w:val="008C6E2F"/>
    <w:rPr>
      <w:b/>
      <w:bCs/>
    </w:rPr>
  </w:style>
  <w:style w:type="paragraph" w:styleId="NoSpacing">
    <w:name w:val="No Spacing"/>
    <w:link w:val="NoSpacingChar"/>
    <w:uiPriority w:val="1"/>
    <w:qFormat/>
    <w:rsid w:val="008C6E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C6E2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JNTUH DAP</dc:creator>
  <cp:keywords/>
  <dc:description/>
  <cp:lastModifiedBy>JNTUH DAP</cp:lastModifiedBy>
  <cp:revision>3</cp:revision>
  <dcterms:created xsi:type="dcterms:W3CDTF">2017-04-20T12:07:00Z</dcterms:created>
  <dcterms:modified xsi:type="dcterms:W3CDTF">2017-04-20T12:08:00Z</dcterms:modified>
</cp:coreProperties>
</file>